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7C73" w14:textId="77777777" w:rsidR="002A1792" w:rsidRDefault="006143E5">
      <w:r>
        <w:rPr>
          <w:rFonts w:ascii="Courier New" w:hAnsi="Courier New" w:cs="Courier New"/>
          <w:sz w:val="21"/>
          <w:szCs w:val="21"/>
        </w:rPr>
        <w:t>DATE: 06 August 1843</w:t>
      </w:r>
      <w:r>
        <w:rPr>
          <w:rFonts w:ascii="Courier New" w:hAnsi="Courier New" w:cs="Courier New"/>
          <w:sz w:val="21"/>
          <w:szCs w:val="21"/>
        </w:rPr>
        <w:br/>
        <w:t>            Philadelphia, Penn.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SOURCE:     Addresses/BY</w:t>
      </w:r>
      <w:r>
        <w:rPr>
          <w:rFonts w:ascii="Courier New" w:hAnsi="Courier New" w:cs="Courier New"/>
          <w:sz w:val="21"/>
          <w:szCs w:val="21"/>
        </w:rPr>
        <w:br/>
        <w:t>            HC 5:527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      President Brigham Young addressed the congregation at considerable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length.  He said that a man or woman may ask of God, and get a witness and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testimony from God concerning any work or messenger that is sent unto them;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but if a person asks for a thing that does not concern him, such as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governing the Church, as a member of the Church inquiring concerning the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duty of a </w:t>
      </w:r>
      <w:proofErr w:type="spellStart"/>
      <w:r>
        <w:rPr>
          <w:rFonts w:ascii="Courier New" w:hAnsi="Courier New" w:cs="Courier New"/>
          <w:sz w:val="21"/>
          <w:szCs w:val="21"/>
        </w:rPr>
        <w:t>pre¬siding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Elder, what the prophet or the Twelve ought to do, &amp;c.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he will not get an answer.  If he does it will not be from God.  He also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remarked that if any in the Church had the fullness of the Melchizedek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Priesthood, he did not know it.  For any person to have the fullness of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that priesthood, he must be a king and priest.  A person may have a portion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of that priesthood, the same as governors or judges of England have power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from the king to transact business; but that does not make them kings of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England.  A person may be anointed king and priest long before he receives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his kingdom.</w:t>
      </w:r>
      <w:bookmarkStart w:id="0" w:name="_GoBack"/>
      <w:bookmarkEnd w:id="0"/>
    </w:p>
    <w:sectPr w:rsidR="002A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E5"/>
    <w:rsid w:val="002A1792"/>
    <w:rsid w:val="006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F02"/>
  <w15:chartTrackingRefBased/>
  <w15:docId w15:val="{5C523AA3-B3F8-4713-A5B5-DDC9381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2019-07-08T18:50:00Z</dcterms:created>
  <dcterms:modified xsi:type="dcterms:W3CDTF">2019-07-08T18:51:00Z</dcterms:modified>
</cp:coreProperties>
</file>